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8B2" w:rsidRDefault="00FF48B2" w:rsidP="00FF48B2">
      <w:pPr>
        <w:spacing w:line="240" w:lineRule="auto"/>
        <w:contextualSpacing/>
        <w:jc w:val="center"/>
        <w:rPr>
          <w:rFonts w:ascii="Book Antiqua" w:hAnsi="Book Antiqua"/>
          <w:b/>
          <w:sz w:val="20"/>
          <w:szCs w:val="20"/>
        </w:rPr>
      </w:pPr>
      <w:r>
        <w:rPr>
          <w:noProof/>
        </w:rPr>
        <w:drawing>
          <wp:inline distT="0" distB="0" distL="0" distR="0" wp14:anchorId="1DB7E4BD" wp14:editId="32CEE839">
            <wp:extent cx="1695450" cy="1323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323975"/>
                    </a:xfrm>
                    <a:prstGeom prst="rect">
                      <a:avLst/>
                    </a:prstGeom>
                    <a:noFill/>
                    <a:ln>
                      <a:noFill/>
                    </a:ln>
                  </pic:spPr>
                </pic:pic>
              </a:graphicData>
            </a:graphic>
          </wp:inline>
        </w:drawing>
      </w:r>
    </w:p>
    <w:p w:rsidR="00FF48B2" w:rsidRDefault="00FF48B2" w:rsidP="00FF48B2">
      <w:pPr>
        <w:spacing w:line="240" w:lineRule="auto"/>
        <w:contextualSpacing/>
        <w:jc w:val="center"/>
        <w:rPr>
          <w:rFonts w:ascii="Book Antiqua" w:hAnsi="Book Antiqua"/>
          <w:b/>
          <w:sz w:val="20"/>
          <w:szCs w:val="20"/>
        </w:rPr>
      </w:pPr>
    </w:p>
    <w:p w:rsidR="00FF48B2" w:rsidRDefault="00FF48B2" w:rsidP="00FF48B2">
      <w:pPr>
        <w:spacing w:line="240" w:lineRule="auto"/>
        <w:contextualSpacing/>
        <w:jc w:val="center"/>
        <w:rPr>
          <w:rFonts w:ascii="Book Antiqua" w:hAnsi="Book Antiqua"/>
          <w:b/>
          <w:sz w:val="20"/>
          <w:szCs w:val="20"/>
        </w:rPr>
      </w:pPr>
    </w:p>
    <w:p w:rsidR="00FF48B2" w:rsidRDefault="00FF48B2" w:rsidP="00FF48B2">
      <w:pPr>
        <w:spacing w:line="240" w:lineRule="auto"/>
        <w:contextualSpacing/>
        <w:jc w:val="center"/>
        <w:rPr>
          <w:rFonts w:ascii="Book Antiqua" w:hAnsi="Book Antiqua"/>
          <w:b/>
          <w:sz w:val="20"/>
          <w:szCs w:val="20"/>
        </w:rPr>
      </w:pPr>
      <w:r>
        <w:rPr>
          <w:rFonts w:ascii="Book Antiqua" w:hAnsi="Book Antiqua"/>
          <w:b/>
          <w:sz w:val="20"/>
          <w:szCs w:val="20"/>
        </w:rPr>
        <w:t>American Academy of Periodontology Foundation</w:t>
      </w:r>
    </w:p>
    <w:p w:rsidR="00FF48B2" w:rsidRDefault="00FF48B2" w:rsidP="00FF48B2">
      <w:pPr>
        <w:spacing w:line="240" w:lineRule="auto"/>
        <w:contextualSpacing/>
        <w:jc w:val="center"/>
        <w:rPr>
          <w:rFonts w:ascii="Book Antiqua" w:hAnsi="Book Antiqua"/>
          <w:b/>
          <w:sz w:val="20"/>
          <w:szCs w:val="20"/>
        </w:rPr>
      </w:pPr>
    </w:p>
    <w:p w:rsidR="00FF48B2" w:rsidRDefault="00FF48B2" w:rsidP="00FF48B2">
      <w:pPr>
        <w:spacing w:line="240" w:lineRule="auto"/>
        <w:contextualSpacing/>
        <w:jc w:val="center"/>
        <w:rPr>
          <w:rFonts w:ascii="Book Antiqua" w:hAnsi="Book Antiqua"/>
          <w:b/>
          <w:sz w:val="20"/>
          <w:szCs w:val="20"/>
        </w:rPr>
      </w:pPr>
      <w:r>
        <w:rPr>
          <w:rFonts w:ascii="Book Antiqua" w:hAnsi="Book Antiqua"/>
          <w:b/>
          <w:sz w:val="20"/>
          <w:szCs w:val="20"/>
        </w:rPr>
        <w:t>Policy on Gifts and Named Funds</w:t>
      </w:r>
    </w:p>
    <w:p w:rsidR="00FF48B2" w:rsidRDefault="00FF48B2" w:rsidP="00FF48B2">
      <w:pPr>
        <w:spacing w:line="240" w:lineRule="auto"/>
        <w:contextualSpacing/>
        <w:jc w:val="center"/>
        <w:rPr>
          <w:rFonts w:ascii="Book Antiqua" w:hAnsi="Book Antiqua"/>
          <w:b/>
          <w:sz w:val="20"/>
          <w:szCs w:val="20"/>
        </w:rPr>
      </w:pPr>
    </w:p>
    <w:p w:rsidR="00FF48B2" w:rsidRDefault="00FF48B2" w:rsidP="00FF48B2">
      <w:pPr>
        <w:spacing w:line="240" w:lineRule="auto"/>
        <w:contextualSpacing/>
        <w:jc w:val="center"/>
        <w:rPr>
          <w:rFonts w:ascii="Book Antiqua" w:hAnsi="Book Antiqua"/>
          <w:b/>
          <w:sz w:val="20"/>
          <w:szCs w:val="20"/>
        </w:rPr>
      </w:pPr>
      <w:r>
        <w:rPr>
          <w:rFonts w:ascii="Book Antiqua" w:hAnsi="Book Antiqua"/>
          <w:b/>
          <w:sz w:val="20"/>
          <w:szCs w:val="20"/>
        </w:rPr>
        <w:t>Adopted: April 12, 2013</w:t>
      </w:r>
    </w:p>
    <w:p w:rsidR="00FF48B2" w:rsidRDefault="00FF48B2" w:rsidP="00FF48B2">
      <w:pPr>
        <w:spacing w:line="240" w:lineRule="auto"/>
        <w:contextualSpacing/>
        <w:rPr>
          <w:rFonts w:ascii="Arial" w:hAnsi="Arial" w:cs="Arial"/>
          <w:sz w:val="20"/>
          <w:szCs w:val="20"/>
        </w:rPr>
      </w:pPr>
    </w:p>
    <w:p w:rsidR="00FF48B2" w:rsidRDefault="00FF48B2" w:rsidP="00FF48B2">
      <w:pPr>
        <w:spacing w:line="240" w:lineRule="auto"/>
        <w:contextualSpacing/>
        <w:rPr>
          <w:rFonts w:ascii="Arial" w:hAnsi="Arial" w:cs="Arial"/>
          <w:sz w:val="20"/>
          <w:szCs w:val="20"/>
        </w:rPr>
      </w:pPr>
    </w:p>
    <w:p w:rsidR="00FF48B2" w:rsidRDefault="00FF48B2" w:rsidP="00FF48B2">
      <w:pPr>
        <w:spacing w:line="240" w:lineRule="auto"/>
        <w:contextualSpacing/>
        <w:rPr>
          <w:rFonts w:ascii="Arial" w:hAnsi="Arial" w:cs="Arial"/>
          <w:sz w:val="20"/>
          <w:szCs w:val="20"/>
        </w:rPr>
      </w:pPr>
    </w:p>
    <w:p w:rsidR="00FF48B2" w:rsidRDefault="00FF48B2" w:rsidP="00FF48B2">
      <w:pPr>
        <w:spacing w:line="240" w:lineRule="auto"/>
        <w:contextualSpacing/>
        <w:rPr>
          <w:rFonts w:ascii="Arial" w:hAnsi="Arial" w:cs="Arial"/>
          <w:sz w:val="20"/>
          <w:szCs w:val="20"/>
        </w:rPr>
      </w:pPr>
    </w:p>
    <w:p w:rsidR="00FF48B2" w:rsidRDefault="00FF48B2" w:rsidP="00FF48B2">
      <w:pPr>
        <w:spacing w:line="240" w:lineRule="auto"/>
        <w:contextualSpacing/>
        <w:rPr>
          <w:rFonts w:ascii="Arial" w:hAnsi="Arial" w:cs="Arial"/>
          <w:sz w:val="20"/>
          <w:szCs w:val="20"/>
        </w:rPr>
      </w:pPr>
    </w:p>
    <w:p w:rsidR="00FF48B2" w:rsidRDefault="00FF48B2" w:rsidP="00FF48B2">
      <w:pPr>
        <w:spacing w:line="240" w:lineRule="auto"/>
        <w:contextualSpacing/>
        <w:rPr>
          <w:rFonts w:ascii="Arial" w:hAnsi="Arial" w:cs="Arial"/>
          <w:sz w:val="20"/>
          <w:szCs w:val="20"/>
        </w:rPr>
      </w:pPr>
    </w:p>
    <w:p w:rsidR="00FF48B2" w:rsidRDefault="00FF48B2" w:rsidP="00FF48B2">
      <w:pPr>
        <w:spacing w:line="240" w:lineRule="auto"/>
        <w:contextualSpacing/>
        <w:rPr>
          <w:rFonts w:ascii="Arial" w:hAnsi="Arial" w:cs="Arial"/>
          <w:sz w:val="20"/>
          <w:szCs w:val="20"/>
        </w:rPr>
      </w:pPr>
      <w:r>
        <w:rPr>
          <w:rFonts w:ascii="Arial" w:hAnsi="Arial" w:cs="Arial"/>
          <w:sz w:val="20"/>
          <w:szCs w:val="20"/>
        </w:rPr>
        <w:t>The goal of the American Academy of Periodontology Foundation Restricted Gift Policy shall be to enhance the current financial; stability of the Foundation and to provide financial security for the future.</w:t>
      </w:r>
    </w:p>
    <w:p w:rsidR="00FF48B2" w:rsidRDefault="00FF48B2" w:rsidP="00FF48B2">
      <w:pPr>
        <w:spacing w:line="240" w:lineRule="auto"/>
        <w:contextualSpacing/>
        <w:rPr>
          <w:rFonts w:ascii="Arial" w:hAnsi="Arial" w:cs="Arial"/>
          <w:sz w:val="20"/>
          <w:szCs w:val="20"/>
        </w:rPr>
      </w:pPr>
    </w:p>
    <w:p w:rsidR="00FF48B2" w:rsidRDefault="00FF48B2" w:rsidP="00FF48B2">
      <w:pPr>
        <w:spacing w:line="240" w:lineRule="auto"/>
        <w:contextualSpacing/>
        <w:rPr>
          <w:rFonts w:ascii="Arial" w:hAnsi="Arial" w:cs="Arial"/>
          <w:sz w:val="20"/>
          <w:szCs w:val="20"/>
        </w:rPr>
      </w:pPr>
      <w:r>
        <w:rPr>
          <w:rFonts w:ascii="Arial" w:hAnsi="Arial" w:cs="Arial"/>
          <w:sz w:val="20"/>
          <w:szCs w:val="20"/>
        </w:rPr>
        <w:t xml:space="preserve">Definitions:  A </w:t>
      </w:r>
      <w:r>
        <w:rPr>
          <w:rFonts w:ascii="Arial" w:hAnsi="Arial" w:cs="Arial"/>
          <w:b/>
          <w:sz w:val="20"/>
          <w:szCs w:val="20"/>
        </w:rPr>
        <w:t>restricted fund</w:t>
      </w:r>
      <w:r>
        <w:rPr>
          <w:rFonts w:ascii="Arial" w:hAnsi="Arial" w:cs="Arial"/>
          <w:sz w:val="20"/>
          <w:szCs w:val="20"/>
        </w:rPr>
        <w:t xml:space="preserve"> is one in which funds have been contributed by external parties and where the donor specifies a restriction on the purpose of the gift.  In addition, the expenditure of either principal or interest or both may be restricted by the donor.  </w:t>
      </w:r>
      <w:r>
        <w:rPr>
          <w:rFonts w:ascii="Arial" w:hAnsi="Arial" w:cs="Arial"/>
          <w:b/>
          <w:sz w:val="20"/>
          <w:szCs w:val="20"/>
        </w:rPr>
        <w:t>Unrestricted funds</w:t>
      </w:r>
      <w:r>
        <w:rPr>
          <w:rFonts w:ascii="Arial" w:hAnsi="Arial" w:cs="Arial"/>
          <w:sz w:val="20"/>
          <w:szCs w:val="20"/>
        </w:rPr>
        <w:t xml:space="preserve"> are those that are contributed without any restriction by the donor as to their purpose or expenditure.  </w:t>
      </w:r>
      <w:r>
        <w:rPr>
          <w:rFonts w:ascii="Arial" w:hAnsi="Arial" w:cs="Arial"/>
          <w:b/>
          <w:sz w:val="20"/>
          <w:szCs w:val="20"/>
        </w:rPr>
        <w:t>Board designated funds</w:t>
      </w:r>
      <w:r>
        <w:rPr>
          <w:rFonts w:ascii="Arial" w:hAnsi="Arial" w:cs="Arial"/>
          <w:sz w:val="20"/>
          <w:szCs w:val="20"/>
        </w:rPr>
        <w:t xml:space="preserve"> are unrestricted funds set aside by the Foundation Board of Directors for a designated purpose or project.  This designation is nonbinding and may be changed by the Board at any time.</w:t>
      </w:r>
    </w:p>
    <w:p w:rsidR="00FF48B2" w:rsidRDefault="00FF48B2" w:rsidP="00FF48B2">
      <w:pPr>
        <w:pStyle w:val="ListParagraph"/>
        <w:numPr>
          <w:ilvl w:val="0"/>
          <w:numId w:val="1"/>
        </w:numPr>
        <w:spacing w:line="240" w:lineRule="auto"/>
        <w:rPr>
          <w:rFonts w:ascii="Arial" w:hAnsi="Arial" w:cs="Arial"/>
          <w:sz w:val="20"/>
          <w:szCs w:val="20"/>
        </w:rPr>
      </w:pPr>
      <w:r>
        <w:rPr>
          <w:rFonts w:ascii="Arial" w:hAnsi="Arial" w:cs="Arial"/>
          <w:sz w:val="20"/>
          <w:szCs w:val="20"/>
        </w:rPr>
        <w:t>All unrestricted gifts will be added to the Foundation’s Sustaining Fund.</w:t>
      </w:r>
    </w:p>
    <w:p w:rsidR="00FF48B2" w:rsidRDefault="00FF48B2" w:rsidP="00FF48B2">
      <w:pPr>
        <w:pStyle w:val="ListParagraph"/>
        <w:spacing w:line="240" w:lineRule="auto"/>
        <w:ind w:left="360"/>
        <w:rPr>
          <w:rFonts w:ascii="Arial" w:hAnsi="Arial" w:cs="Arial"/>
          <w:sz w:val="20"/>
          <w:szCs w:val="20"/>
        </w:rPr>
      </w:pPr>
    </w:p>
    <w:p w:rsidR="00FF48B2" w:rsidRDefault="00FF48B2" w:rsidP="00FF48B2">
      <w:pPr>
        <w:pStyle w:val="ListParagraph"/>
        <w:numPr>
          <w:ilvl w:val="0"/>
          <w:numId w:val="1"/>
        </w:numPr>
        <w:spacing w:line="240" w:lineRule="auto"/>
        <w:rPr>
          <w:rFonts w:ascii="Arial" w:hAnsi="Arial" w:cs="Arial"/>
          <w:sz w:val="20"/>
          <w:szCs w:val="20"/>
        </w:rPr>
      </w:pPr>
      <w:r>
        <w:rPr>
          <w:rFonts w:ascii="Arial" w:hAnsi="Arial" w:cs="Arial"/>
          <w:sz w:val="20"/>
          <w:szCs w:val="20"/>
        </w:rPr>
        <w:t>Acceptance of all restricted must first be approved by the Foundation’s Board of Directors.  With Board approval, such gifts may be accepted by the Foundation’s executive director.  “Restricted” in this instance means restricted to a particular programmatic purpose, but no donor may restrict use of principal and interest.</w:t>
      </w:r>
    </w:p>
    <w:p w:rsidR="00FF48B2" w:rsidRDefault="00FF48B2" w:rsidP="00FF48B2">
      <w:pPr>
        <w:pStyle w:val="ListParagraph"/>
        <w:spacing w:line="240" w:lineRule="auto"/>
        <w:ind w:left="360"/>
        <w:rPr>
          <w:rFonts w:ascii="Arial" w:hAnsi="Arial" w:cs="Arial"/>
          <w:sz w:val="20"/>
          <w:szCs w:val="20"/>
        </w:rPr>
      </w:pPr>
    </w:p>
    <w:p w:rsidR="00FF48B2" w:rsidRDefault="00FF48B2" w:rsidP="00FF48B2">
      <w:pPr>
        <w:pStyle w:val="ListParagraph"/>
        <w:numPr>
          <w:ilvl w:val="0"/>
          <w:numId w:val="1"/>
        </w:numPr>
        <w:spacing w:line="240" w:lineRule="auto"/>
        <w:rPr>
          <w:rFonts w:ascii="Arial" w:hAnsi="Arial" w:cs="Arial"/>
          <w:sz w:val="20"/>
          <w:szCs w:val="20"/>
        </w:rPr>
      </w:pPr>
      <w:r>
        <w:rPr>
          <w:rFonts w:ascii="Arial" w:hAnsi="Arial" w:cs="Arial"/>
          <w:sz w:val="20"/>
          <w:szCs w:val="20"/>
        </w:rPr>
        <w:t>All funds received for a particular programmatic purpose shall be considered “Board designated,” allowing the Board to utilize what would ordinarily be considered principal if market or other appropriate conditions warrant.</w:t>
      </w:r>
    </w:p>
    <w:p w:rsidR="00FF48B2" w:rsidRPr="00FF48B2" w:rsidRDefault="00FF48B2" w:rsidP="00FF48B2">
      <w:pPr>
        <w:pStyle w:val="ListParagraph"/>
        <w:rPr>
          <w:rFonts w:ascii="Arial" w:hAnsi="Arial" w:cs="Arial"/>
          <w:sz w:val="20"/>
          <w:szCs w:val="20"/>
        </w:rPr>
      </w:pPr>
    </w:p>
    <w:p w:rsidR="00FF48B2" w:rsidRDefault="00FF48B2" w:rsidP="00FF48B2">
      <w:pPr>
        <w:pStyle w:val="ListParagraph"/>
        <w:numPr>
          <w:ilvl w:val="0"/>
          <w:numId w:val="1"/>
        </w:numPr>
        <w:spacing w:line="240" w:lineRule="auto"/>
        <w:rPr>
          <w:rFonts w:ascii="Arial" w:hAnsi="Arial" w:cs="Arial"/>
          <w:sz w:val="20"/>
          <w:szCs w:val="20"/>
        </w:rPr>
      </w:pPr>
      <w:r>
        <w:rPr>
          <w:rFonts w:ascii="Arial" w:hAnsi="Arial" w:cs="Arial"/>
          <w:sz w:val="20"/>
          <w:szCs w:val="20"/>
        </w:rPr>
        <w:t>The Foundation will not create endowments, so as to provide flexibility in the event of a contingency</w:t>
      </w:r>
    </w:p>
    <w:p w:rsidR="00FF48B2" w:rsidRPr="00FF48B2" w:rsidRDefault="00FF48B2" w:rsidP="00FF48B2">
      <w:pPr>
        <w:pStyle w:val="ListParagraph"/>
        <w:rPr>
          <w:rFonts w:ascii="Arial" w:hAnsi="Arial" w:cs="Arial"/>
          <w:sz w:val="20"/>
          <w:szCs w:val="20"/>
        </w:rPr>
      </w:pPr>
    </w:p>
    <w:p w:rsidR="00FF48B2" w:rsidRDefault="00FF48B2" w:rsidP="00FF48B2">
      <w:pPr>
        <w:pStyle w:val="ListParagraph"/>
        <w:numPr>
          <w:ilvl w:val="0"/>
          <w:numId w:val="1"/>
        </w:numPr>
        <w:spacing w:line="240" w:lineRule="auto"/>
        <w:rPr>
          <w:rFonts w:ascii="Arial" w:hAnsi="Arial" w:cs="Arial"/>
          <w:sz w:val="20"/>
          <w:szCs w:val="20"/>
        </w:rPr>
      </w:pPr>
      <w:r>
        <w:rPr>
          <w:rFonts w:ascii="Arial" w:hAnsi="Arial" w:cs="Arial"/>
          <w:sz w:val="20"/>
          <w:szCs w:val="20"/>
        </w:rPr>
        <w:t>The Foundation will accept only those gifts which are consistent with the Foundation’s mission, goals, purposes and programs.</w:t>
      </w:r>
    </w:p>
    <w:p w:rsidR="00FF48B2" w:rsidRPr="00FF48B2" w:rsidRDefault="00FF48B2" w:rsidP="00FF48B2">
      <w:pPr>
        <w:pStyle w:val="ListParagraph"/>
        <w:rPr>
          <w:rFonts w:ascii="Arial" w:hAnsi="Arial" w:cs="Arial"/>
          <w:sz w:val="20"/>
          <w:szCs w:val="20"/>
        </w:rPr>
      </w:pPr>
      <w:bookmarkStart w:id="0" w:name="_GoBack"/>
      <w:bookmarkEnd w:id="0"/>
    </w:p>
    <w:p w:rsidR="00FF48B2" w:rsidRDefault="00FF48B2" w:rsidP="00FF48B2">
      <w:pPr>
        <w:pStyle w:val="ListParagraph"/>
        <w:numPr>
          <w:ilvl w:val="0"/>
          <w:numId w:val="1"/>
        </w:numPr>
        <w:spacing w:line="240" w:lineRule="auto"/>
        <w:rPr>
          <w:rFonts w:ascii="Arial" w:hAnsi="Arial" w:cs="Arial"/>
          <w:sz w:val="20"/>
          <w:szCs w:val="20"/>
        </w:rPr>
      </w:pPr>
      <w:r>
        <w:rPr>
          <w:rFonts w:ascii="Arial" w:hAnsi="Arial" w:cs="Arial"/>
          <w:sz w:val="20"/>
          <w:szCs w:val="20"/>
        </w:rPr>
        <w:t>Unacceptable restrictions include restrictions to the donor or his/her assigns the ability to designate a beneficiary of the gift.  The Board may from time to time determine other restrictions that are unacceptable.</w:t>
      </w:r>
    </w:p>
    <w:p w:rsidR="00FF48B2" w:rsidRPr="00FF48B2" w:rsidRDefault="00FF48B2" w:rsidP="00FF48B2">
      <w:pPr>
        <w:pStyle w:val="ListParagraph"/>
        <w:rPr>
          <w:rFonts w:ascii="Arial" w:hAnsi="Arial" w:cs="Arial"/>
          <w:sz w:val="20"/>
          <w:szCs w:val="20"/>
        </w:rPr>
      </w:pPr>
    </w:p>
    <w:p w:rsidR="00FF48B2" w:rsidRDefault="00FF48B2" w:rsidP="00FF48B2">
      <w:pPr>
        <w:pStyle w:val="ListParagraph"/>
        <w:numPr>
          <w:ilvl w:val="0"/>
          <w:numId w:val="1"/>
        </w:numPr>
        <w:spacing w:line="240" w:lineRule="auto"/>
        <w:rPr>
          <w:rFonts w:ascii="Arial" w:hAnsi="Arial" w:cs="Arial"/>
          <w:sz w:val="20"/>
          <w:szCs w:val="20"/>
        </w:rPr>
      </w:pPr>
      <w:r>
        <w:rPr>
          <w:rFonts w:ascii="Arial" w:hAnsi="Arial" w:cs="Arial"/>
          <w:sz w:val="20"/>
          <w:szCs w:val="20"/>
        </w:rPr>
        <w:t>All donors to funds shall be advised of any relevant Foundation policies regarding administration of such Funds, including the manner in which Fund “income” is defined, as well as fees charged to the Fund that cover administration and other program management costs.  It is recommenced that 10-20% either be deducted as an administrative charge or added over and above program funds as agreed upon with an individual or institutional donor in advance.</w:t>
      </w:r>
    </w:p>
    <w:p w:rsidR="00FF48B2" w:rsidRPr="00FF48B2" w:rsidRDefault="00FF48B2" w:rsidP="00FF48B2">
      <w:pPr>
        <w:pStyle w:val="ListParagraph"/>
        <w:rPr>
          <w:rFonts w:ascii="Arial" w:hAnsi="Arial" w:cs="Arial"/>
          <w:sz w:val="20"/>
          <w:szCs w:val="20"/>
        </w:rPr>
      </w:pPr>
    </w:p>
    <w:p w:rsidR="00FF48B2" w:rsidRDefault="00FF48B2" w:rsidP="00FF48B2">
      <w:pPr>
        <w:pStyle w:val="ListParagraph"/>
        <w:numPr>
          <w:ilvl w:val="0"/>
          <w:numId w:val="1"/>
        </w:numPr>
        <w:spacing w:line="240" w:lineRule="auto"/>
        <w:rPr>
          <w:rFonts w:ascii="Arial" w:hAnsi="Arial" w:cs="Arial"/>
          <w:sz w:val="20"/>
          <w:szCs w:val="20"/>
        </w:rPr>
      </w:pPr>
      <w:r>
        <w:rPr>
          <w:rFonts w:ascii="Arial" w:hAnsi="Arial" w:cs="Arial"/>
          <w:sz w:val="20"/>
          <w:szCs w:val="20"/>
        </w:rPr>
        <w:t>Fundraising campaigns may be established in the name of an individual or a group of individuals when a corpus of $50,000 has been received or assured by a binding pledge.  Funds raised through any such campaign will be added to the Foundation’s Sustaining Fund or segregated program fund at the discretion of the Board.</w:t>
      </w:r>
    </w:p>
    <w:p w:rsidR="00FF48B2" w:rsidRPr="00FF48B2" w:rsidRDefault="00FF48B2" w:rsidP="00FF48B2">
      <w:pPr>
        <w:pStyle w:val="ListParagraph"/>
        <w:rPr>
          <w:rFonts w:ascii="Arial" w:hAnsi="Arial" w:cs="Arial"/>
          <w:sz w:val="20"/>
          <w:szCs w:val="20"/>
        </w:rPr>
      </w:pPr>
    </w:p>
    <w:p w:rsidR="00FF48B2" w:rsidRDefault="00FF48B2" w:rsidP="00FF48B2">
      <w:pPr>
        <w:pStyle w:val="ListParagraph"/>
        <w:numPr>
          <w:ilvl w:val="0"/>
          <w:numId w:val="1"/>
        </w:numPr>
        <w:spacing w:line="240" w:lineRule="auto"/>
        <w:rPr>
          <w:rFonts w:ascii="Arial" w:hAnsi="Arial" w:cs="Arial"/>
          <w:sz w:val="20"/>
          <w:szCs w:val="20"/>
        </w:rPr>
      </w:pPr>
      <w:r>
        <w:rPr>
          <w:rFonts w:ascii="Arial" w:hAnsi="Arial" w:cs="Arial"/>
          <w:sz w:val="20"/>
          <w:szCs w:val="20"/>
        </w:rPr>
        <w:t>A fund and the grants or awards it supports may be named after an individual or group of individuals only for amounts of at least $250,000.</w:t>
      </w:r>
    </w:p>
    <w:p w:rsidR="00FF48B2" w:rsidRPr="00FF48B2" w:rsidRDefault="00FF48B2" w:rsidP="00FF48B2">
      <w:pPr>
        <w:pStyle w:val="ListParagraph"/>
        <w:rPr>
          <w:rFonts w:ascii="Arial" w:hAnsi="Arial" w:cs="Arial"/>
          <w:sz w:val="20"/>
          <w:szCs w:val="20"/>
        </w:rPr>
      </w:pPr>
    </w:p>
    <w:p w:rsidR="00FF48B2" w:rsidRDefault="00FF48B2" w:rsidP="00FF48B2">
      <w:pPr>
        <w:pStyle w:val="ListParagraph"/>
        <w:numPr>
          <w:ilvl w:val="0"/>
          <w:numId w:val="1"/>
        </w:numPr>
        <w:spacing w:line="240" w:lineRule="auto"/>
        <w:rPr>
          <w:rFonts w:ascii="Arial" w:hAnsi="Arial" w:cs="Arial"/>
          <w:sz w:val="20"/>
          <w:szCs w:val="20"/>
        </w:rPr>
      </w:pPr>
      <w:r>
        <w:rPr>
          <w:rFonts w:ascii="Arial" w:hAnsi="Arial" w:cs="Arial"/>
          <w:sz w:val="20"/>
          <w:szCs w:val="20"/>
        </w:rPr>
        <w:t>Named funds will be “open end funds” (available to receive additional gifts) unless the donor restricts such flexibility subject to acceptance by the Foundation Board.</w:t>
      </w:r>
    </w:p>
    <w:p w:rsidR="00FF48B2" w:rsidRPr="00FF48B2" w:rsidRDefault="00FF48B2" w:rsidP="00FF48B2">
      <w:pPr>
        <w:pStyle w:val="ListParagraph"/>
        <w:rPr>
          <w:rFonts w:ascii="Arial" w:hAnsi="Arial" w:cs="Arial"/>
          <w:sz w:val="20"/>
          <w:szCs w:val="20"/>
        </w:rPr>
      </w:pPr>
    </w:p>
    <w:p w:rsidR="00FF48B2" w:rsidRDefault="00FF48B2" w:rsidP="00FF48B2">
      <w:pPr>
        <w:pStyle w:val="ListParagraph"/>
        <w:numPr>
          <w:ilvl w:val="0"/>
          <w:numId w:val="1"/>
        </w:numPr>
        <w:spacing w:line="240" w:lineRule="auto"/>
        <w:rPr>
          <w:rFonts w:ascii="Arial" w:hAnsi="Arial" w:cs="Arial"/>
          <w:sz w:val="20"/>
          <w:szCs w:val="20"/>
        </w:rPr>
      </w:pPr>
      <w:r>
        <w:rPr>
          <w:rFonts w:ascii="Arial" w:hAnsi="Arial" w:cs="Arial"/>
          <w:sz w:val="20"/>
          <w:szCs w:val="20"/>
        </w:rPr>
        <w:t>The Foundation’s Board may establish a fund with amounts less than $250,000, provided that donors to the fund are made aware of the following rules:  within a reasonable period of time (normally 18 months) from the date of the receipt of first resources the entire principal of the fund, including capitalized earnings and additional gifts, shall equal at least $125,000.  If this amount has not been obtained within a reasonable time, the fund may be terminated and the amounts given used for the purposed as determined by the Board.</w:t>
      </w:r>
    </w:p>
    <w:p w:rsidR="00FF48B2" w:rsidRPr="00FF48B2" w:rsidRDefault="00FF48B2" w:rsidP="00FF48B2">
      <w:pPr>
        <w:pStyle w:val="ListParagraph"/>
        <w:rPr>
          <w:rFonts w:ascii="Arial" w:hAnsi="Arial" w:cs="Arial"/>
          <w:sz w:val="20"/>
          <w:szCs w:val="20"/>
        </w:rPr>
      </w:pPr>
    </w:p>
    <w:p w:rsidR="007310CA" w:rsidRPr="007310CA" w:rsidRDefault="007310CA" w:rsidP="007310CA">
      <w:pPr>
        <w:pStyle w:val="ListParagraph"/>
        <w:numPr>
          <w:ilvl w:val="0"/>
          <w:numId w:val="1"/>
        </w:numPr>
        <w:spacing w:after="0" w:line="240" w:lineRule="auto"/>
        <w:rPr>
          <w:rFonts w:ascii="Arial" w:hAnsi="Arial" w:cs="Arial"/>
          <w:sz w:val="20"/>
          <w:szCs w:val="20"/>
        </w:rPr>
      </w:pPr>
      <w:r w:rsidRPr="007310CA">
        <w:rPr>
          <w:rFonts w:ascii="Arial" w:hAnsi="Arial" w:cs="Arial"/>
          <w:sz w:val="20"/>
          <w:szCs w:val="20"/>
        </w:rPr>
        <w:t>To the extent possible, the terms of any fund shall include language to permit the Foundation Board to assign a modified but related use of such fund as future conditions dictate.  Such action shall be authorized by the donor by including the following clause in the instrument transferring assets to the Foundation:</w:t>
      </w:r>
      <w:r w:rsidRPr="007310CA">
        <w:rPr>
          <w:rFonts w:ascii="Arial" w:hAnsi="Arial" w:cs="Arial"/>
          <w:i/>
          <w:sz w:val="20"/>
          <w:szCs w:val="20"/>
        </w:rPr>
        <w:t xml:space="preserve"> </w:t>
      </w:r>
    </w:p>
    <w:p w:rsidR="007310CA" w:rsidRPr="007310CA" w:rsidRDefault="007310CA" w:rsidP="007310CA">
      <w:pPr>
        <w:spacing w:after="0" w:line="240" w:lineRule="auto"/>
        <w:rPr>
          <w:rFonts w:ascii="Arial" w:hAnsi="Arial" w:cs="Arial"/>
          <w:sz w:val="20"/>
          <w:szCs w:val="20"/>
        </w:rPr>
      </w:pPr>
      <w:r w:rsidRPr="007310CA">
        <w:rPr>
          <w:rFonts w:ascii="Arial" w:hAnsi="Arial" w:cs="Arial"/>
          <w:i/>
          <w:sz w:val="20"/>
          <w:szCs w:val="20"/>
        </w:rPr>
        <w:t xml:space="preserve">If, in the opinion of the American Academy of Periodontology Foundation Board of Directors, all or part of the earnings of the fund cannot be usefully applied to the purpose designated, or in the manner requested, the Foundation may apply the same to such other Foundation purpose as the Board determines, attempting to carry out </w:t>
      </w:r>
      <w:r>
        <w:rPr>
          <w:rFonts w:ascii="Arial" w:hAnsi="Arial" w:cs="Arial"/>
          <w:i/>
          <w:sz w:val="20"/>
          <w:szCs w:val="20"/>
        </w:rPr>
        <w:t>their</w:t>
      </w:r>
      <w:r w:rsidRPr="007310CA">
        <w:rPr>
          <w:rFonts w:ascii="Arial" w:hAnsi="Arial" w:cs="Arial"/>
          <w:i/>
          <w:sz w:val="20"/>
          <w:szCs w:val="20"/>
        </w:rPr>
        <w:t xml:space="preserve"> wishes and intent as closely as practicable.</w:t>
      </w:r>
    </w:p>
    <w:p w:rsidR="007310CA" w:rsidRPr="007310CA" w:rsidRDefault="007310CA" w:rsidP="007310CA">
      <w:pPr>
        <w:spacing w:after="0" w:line="240" w:lineRule="auto"/>
        <w:rPr>
          <w:rFonts w:ascii="Arial" w:hAnsi="Arial" w:cs="Arial"/>
          <w:sz w:val="20"/>
          <w:szCs w:val="20"/>
        </w:rPr>
      </w:pPr>
    </w:p>
    <w:p w:rsidR="007310CA" w:rsidRPr="007310CA" w:rsidRDefault="007310CA" w:rsidP="007310CA">
      <w:pPr>
        <w:pStyle w:val="ListParagraph"/>
        <w:numPr>
          <w:ilvl w:val="0"/>
          <w:numId w:val="1"/>
        </w:numPr>
        <w:spacing w:line="240" w:lineRule="auto"/>
        <w:rPr>
          <w:rFonts w:ascii="Arial" w:hAnsi="Arial" w:cs="Arial"/>
          <w:sz w:val="20"/>
          <w:szCs w:val="20"/>
        </w:rPr>
      </w:pPr>
      <w:r>
        <w:rPr>
          <w:rFonts w:ascii="Arial" w:hAnsi="Arial" w:cs="Arial"/>
          <w:sz w:val="20"/>
          <w:szCs w:val="20"/>
        </w:rPr>
        <w:t>The AAP Foundation is not a vehicle for pass-through gifts.</w:t>
      </w:r>
    </w:p>
    <w:sectPr w:rsidR="007310CA" w:rsidRPr="007310CA" w:rsidSect="00FF48B2">
      <w:headerReference w:type="even" r:id="rId9"/>
      <w:headerReference w:type="default" r:id="rId10"/>
      <w:pgSz w:w="12240" w:h="15840"/>
      <w:pgMar w:top="1627" w:right="2160" w:bottom="2448"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8B2" w:rsidRDefault="00FF48B2" w:rsidP="00FF48B2">
      <w:pPr>
        <w:spacing w:after="0" w:line="240" w:lineRule="auto"/>
      </w:pPr>
      <w:r>
        <w:separator/>
      </w:r>
    </w:p>
  </w:endnote>
  <w:endnote w:type="continuationSeparator" w:id="0">
    <w:p w:rsidR="00FF48B2" w:rsidRDefault="00FF48B2" w:rsidP="00FF4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8B2" w:rsidRDefault="00FF48B2" w:rsidP="00FF48B2">
      <w:pPr>
        <w:spacing w:after="0" w:line="240" w:lineRule="auto"/>
      </w:pPr>
      <w:r>
        <w:separator/>
      </w:r>
    </w:p>
  </w:footnote>
  <w:footnote w:type="continuationSeparator" w:id="0">
    <w:p w:rsidR="00FF48B2" w:rsidRDefault="00FF48B2" w:rsidP="00FF48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0CA" w:rsidRPr="007310CA" w:rsidRDefault="007310CA" w:rsidP="007310CA">
    <w:pPr>
      <w:pStyle w:val="Header"/>
      <w:jc w:val="right"/>
      <w:rPr>
        <w:rFonts w:ascii="Arial" w:hAnsi="Arial" w:cs="Arial"/>
        <w:sz w:val="20"/>
        <w:szCs w:val="20"/>
      </w:rPr>
    </w:pPr>
    <w:r w:rsidRPr="007310CA">
      <w:rPr>
        <w:rFonts w:ascii="Arial" w:hAnsi="Arial" w:cs="Arial"/>
        <w:sz w:val="20"/>
        <w:szCs w:val="20"/>
      </w:rPr>
      <w:t>5-B(</w:t>
    </w:r>
    <w:r w:rsidRPr="007310CA">
      <w:rPr>
        <w:rFonts w:ascii="Arial" w:hAnsi="Arial" w:cs="Arial"/>
        <w:sz w:val="20"/>
        <w:szCs w:val="20"/>
      </w:rPr>
      <w:fldChar w:fldCharType="begin"/>
    </w:r>
    <w:r w:rsidRPr="007310CA">
      <w:rPr>
        <w:rFonts w:ascii="Arial" w:hAnsi="Arial" w:cs="Arial"/>
        <w:sz w:val="20"/>
        <w:szCs w:val="20"/>
      </w:rPr>
      <w:instrText xml:space="preserve"> PAGE   \* MERGEFORMAT </w:instrText>
    </w:r>
    <w:r w:rsidRPr="007310CA">
      <w:rPr>
        <w:rFonts w:ascii="Arial" w:hAnsi="Arial" w:cs="Arial"/>
        <w:sz w:val="20"/>
        <w:szCs w:val="20"/>
      </w:rPr>
      <w:fldChar w:fldCharType="separate"/>
    </w:r>
    <w:r w:rsidR="00BD6374">
      <w:rPr>
        <w:rFonts w:ascii="Arial" w:hAnsi="Arial" w:cs="Arial"/>
        <w:noProof/>
        <w:sz w:val="20"/>
        <w:szCs w:val="20"/>
      </w:rPr>
      <w:t>2</w:t>
    </w:r>
    <w:r w:rsidRPr="007310CA">
      <w:rPr>
        <w:rFonts w:ascii="Arial" w:hAnsi="Arial" w:cs="Arial"/>
        <w:noProof/>
        <w:sz w:val="20"/>
        <w:szCs w:val="20"/>
      </w:rPr>
      <w:fldChar w:fldCharType="end"/>
    </w:r>
    <w:r w:rsidRPr="007310CA">
      <w:rPr>
        <w:rFonts w:ascii="Arial" w:hAnsi="Arial" w:cs="Arial"/>
        <w:noProof/>
        <w:sz w:val="20"/>
        <w:szCs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8B2" w:rsidRPr="00FF48B2" w:rsidRDefault="00FF48B2" w:rsidP="00FF48B2">
    <w:pPr>
      <w:pStyle w:val="Header"/>
      <w:jc w:val="right"/>
      <w:rPr>
        <w:rFonts w:ascii="Arial" w:hAnsi="Arial" w:cs="Arial"/>
        <w:sz w:val="20"/>
        <w:szCs w:val="20"/>
      </w:rPr>
    </w:pPr>
    <w:r w:rsidRPr="00FF48B2">
      <w:rPr>
        <w:rFonts w:ascii="Arial" w:hAnsi="Arial" w:cs="Arial"/>
        <w:sz w:val="20"/>
        <w:szCs w:val="20"/>
      </w:rPr>
      <w:t>5-B(</w:t>
    </w:r>
    <w:r w:rsidRPr="00FF48B2">
      <w:rPr>
        <w:rFonts w:ascii="Arial" w:hAnsi="Arial" w:cs="Arial"/>
        <w:sz w:val="20"/>
        <w:szCs w:val="20"/>
      </w:rPr>
      <w:fldChar w:fldCharType="begin"/>
    </w:r>
    <w:r w:rsidRPr="00FF48B2">
      <w:rPr>
        <w:rFonts w:ascii="Arial" w:hAnsi="Arial" w:cs="Arial"/>
        <w:sz w:val="20"/>
        <w:szCs w:val="20"/>
      </w:rPr>
      <w:instrText xml:space="preserve"> PAGE   \* MERGEFORMAT </w:instrText>
    </w:r>
    <w:r w:rsidRPr="00FF48B2">
      <w:rPr>
        <w:rFonts w:ascii="Arial" w:hAnsi="Arial" w:cs="Arial"/>
        <w:sz w:val="20"/>
        <w:szCs w:val="20"/>
      </w:rPr>
      <w:fldChar w:fldCharType="separate"/>
    </w:r>
    <w:r w:rsidR="00BD6374">
      <w:rPr>
        <w:rFonts w:ascii="Arial" w:hAnsi="Arial" w:cs="Arial"/>
        <w:noProof/>
        <w:sz w:val="20"/>
        <w:szCs w:val="20"/>
      </w:rPr>
      <w:t>1</w:t>
    </w:r>
    <w:r w:rsidRPr="00FF48B2">
      <w:rPr>
        <w:rFonts w:ascii="Arial" w:hAnsi="Arial" w:cs="Arial"/>
        <w:noProof/>
        <w:sz w:val="20"/>
        <w:szCs w:val="20"/>
      </w:rPr>
      <w:fldChar w:fldCharType="end"/>
    </w:r>
    <w:r w:rsidRPr="00FF48B2">
      <w:rPr>
        <w:rFonts w:ascii="Arial" w:hAnsi="Arial" w:cs="Arial"/>
        <w:noProof/>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14550"/>
    <w:multiLevelType w:val="hybridMultilevel"/>
    <w:tmpl w:val="5CCA14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43963FF"/>
    <w:multiLevelType w:val="hybridMultilevel"/>
    <w:tmpl w:val="F00C8C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8B2"/>
    <w:rsid w:val="007310CA"/>
    <w:rsid w:val="00BD6374"/>
    <w:rsid w:val="00DB1E06"/>
    <w:rsid w:val="00FF4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48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8B2"/>
    <w:rPr>
      <w:rFonts w:ascii="Tahoma" w:hAnsi="Tahoma" w:cs="Tahoma"/>
      <w:sz w:val="16"/>
      <w:szCs w:val="16"/>
    </w:rPr>
  </w:style>
  <w:style w:type="paragraph" w:styleId="Header">
    <w:name w:val="header"/>
    <w:basedOn w:val="Normal"/>
    <w:link w:val="HeaderChar"/>
    <w:unhideWhenUsed/>
    <w:rsid w:val="00FF48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8B2"/>
  </w:style>
  <w:style w:type="paragraph" w:styleId="Footer">
    <w:name w:val="footer"/>
    <w:basedOn w:val="Normal"/>
    <w:link w:val="FooterChar"/>
    <w:uiPriority w:val="99"/>
    <w:unhideWhenUsed/>
    <w:rsid w:val="00FF48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8B2"/>
  </w:style>
  <w:style w:type="paragraph" w:styleId="ListParagraph">
    <w:name w:val="List Paragraph"/>
    <w:basedOn w:val="Normal"/>
    <w:uiPriority w:val="34"/>
    <w:qFormat/>
    <w:rsid w:val="00FF48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48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8B2"/>
    <w:rPr>
      <w:rFonts w:ascii="Tahoma" w:hAnsi="Tahoma" w:cs="Tahoma"/>
      <w:sz w:val="16"/>
      <w:szCs w:val="16"/>
    </w:rPr>
  </w:style>
  <w:style w:type="paragraph" w:styleId="Header">
    <w:name w:val="header"/>
    <w:basedOn w:val="Normal"/>
    <w:link w:val="HeaderChar"/>
    <w:unhideWhenUsed/>
    <w:rsid w:val="00FF48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8B2"/>
  </w:style>
  <w:style w:type="paragraph" w:styleId="Footer">
    <w:name w:val="footer"/>
    <w:basedOn w:val="Normal"/>
    <w:link w:val="FooterChar"/>
    <w:uiPriority w:val="99"/>
    <w:unhideWhenUsed/>
    <w:rsid w:val="00FF48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8B2"/>
  </w:style>
  <w:style w:type="paragraph" w:styleId="ListParagraph">
    <w:name w:val="List Paragraph"/>
    <w:basedOn w:val="Normal"/>
    <w:uiPriority w:val="34"/>
    <w:qFormat/>
    <w:rsid w:val="00FF48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American Academy of Periodontology</Company>
  <LinksUpToDate>false</LinksUpToDate>
  <CharactersWithSpaces>4367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ariel</dc:creator>
  <cp:lastModifiedBy>ariel</cp:lastModifiedBy>
  <cp:revision>2</cp:revision>
  <cp:lastPrinted>2013-04-25T19:26:00Z</cp:lastPrinted>
  <dcterms:created xsi:type="dcterms:W3CDTF">2013-04-25T19:26:00Z</dcterms:created>
  <dcterms:modified xsi:type="dcterms:W3CDTF">2013-04-25T19:26:00Z</dcterms:modified>
</cp:coreProperties>
</file>